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21.07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sz w:val="28"/>
          <w:szCs w:val="28"/>
        </w:rPr>
        <w:t xml:space="preserve">Новые достижения проекта</w:t>
      </w:r>
      <w:r>
        <w:rPr>
          <w:rFonts w:ascii="Tinos" w:hAnsi="Tinos" w:eastAsia="Tinos" w:cs="Tinos"/>
          <w:b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«Земля для стройки» 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</w:rPr>
        <w:t xml:space="preserve">в 63-м регионе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ind w:firstLine="708"/>
        <w:jc w:val="both"/>
        <w:spacing w:line="276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За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пять лет действия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проекта «Земля для стройки»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Самарской области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создан земельных фонд, включающий участки и территории под индивидуальное жилищное строительство, а также многоквартирные дома - общей площадью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около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четырех тысяч гектаров.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Под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жилищное строительство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оборот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было вовлечено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267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земельных участков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общей площадью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более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 150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 гектаров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ind w:firstLine="708"/>
        <w:jc w:val="both"/>
        <w:spacing w:line="276" w:lineRule="auto"/>
        <w:rPr>
          <w:rFonts w:ascii="Tinos" w:hAnsi="Tinos" w:cs="Tinos"/>
          <w:bCs/>
          <w:i/>
          <w:color w:val="000000" w:themeColor="text1"/>
          <w:sz w:val="26"/>
          <w:szCs w:val="26"/>
          <w:highlight w:val="none"/>
        </w:rPr>
      </w:pPr>
      <w:r>
        <w:rPr>
          <w:rFonts w:ascii="Tinos" w:hAnsi="Tinos" w:eastAsia="Tinos" w:cs="Tinos"/>
          <w:i/>
          <w:iCs/>
          <w:sz w:val="28"/>
          <w:szCs w:val="28"/>
        </w:rPr>
        <w:t xml:space="preserve">«Цель проекта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«Земля для стройки» -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 выявление неиспользуемых  земельных участков и территорий, вовлечение их в оборот с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 дальнейшим предоставлением заинтересованным лицам в собственность или аренду,</w:t>
      </w:r>
      <w:r>
        <w:rPr>
          <w:rFonts w:ascii="Tinos" w:hAnsi="Tinos" w:eastAsia="Tinos" w:cs="Tinos"/>
          <w:sz w:val="28"/>
          <w:szCs w:val="28"/>
        </w:rPr>
        <w:t xml:space="preserve"> – отмечает заместитель руководителя самарского Росреестра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Татьяна Омельченко.</w:t>
      </w:r>
      <w:r>
        <w:rPr>
          <w:rFonts w:ascii="Tinos" w:hAnsi="Tinos" w:eastAsia="Tinos" w:cs="Tinos"/>
          <w:sz w:val="28"/>
          <w:szCs w:val="28"/>
        </w:rPr>
        <w:t xml:space="preserve"> - 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Важным итогом такой работы стало строительство жилых домов на предоставленных земельных участках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 и ввод объектов в эксплуатацию.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За 1 полугодие 2025 года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 в рамках проекта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«Земля для стройки»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 н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а выявленных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земельных участках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, расположенных на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территории небольшого по площади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Хворостянского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района Самарской области,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возведено 13 жилых домов блокированной застройки - общей площадью около 500 кв.м.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На выявленном на территории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города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Сызрань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 земельном участке завершено строительство и введен в эксплуатацию 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6-ти этажный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 многоквартирный жилой дом, общей площадью более 16 тыс. кв.м.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В нем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поставлены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 на кадастровый учет и зарегистрированы права собственников более чем 300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 помещений»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.</w:t>
      </w:r>
      <w:r>
        <w:rPr>
          <w:rFonts w:ascii="Tinos" w:hAnsi="Tinos" w:cs="Tinos"/>
          <w:bCs/>
          <w:i/>
          <w:color w:val="000000" w:themeColor="text1"/>
          <w:sz w:val="26"/>
          <w:szCs w:val="26"/>
          <w:highlight w:val="none"/>
        </w:rPr>
      </w:r>
      <w:r>
        <w:rPr>
          <w:rFonts w:ascii="Tinos" w:hAnsi="Tinos" w:cs="Tinos"/>
          <w:bCs/>
          <w:i/>
          <w:color w:val="000000" w:themeColor="text1"/>
          <w:sz w:val="26"/>
          <w:szCs w:val="26"/>
          <w:highlight w:val="none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</w:p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  <w:style w:type="paragraph" w:styleId="861" w:customStyle="1">
    <w:name w:val="Обычный (веб)"/>
    <w:next w:val="66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 3"/>
    <w:next w:val="664"/>
    <w:link w:val="66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41</cp:revision>
  <dcterms:created xsi:type="dcterms:W3CDTF">2025-04-09T05:40:00Z</dcterms:created>
  <dcterms:modified xsi:type="dcterms:W3CDTF">2025-07-21T04:41:20Z</dcterms:modified>
</cp:coreProperties>
</file>